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</w:p>
    <w:p>
      <w:pPr>
        <w:pStyle w:val="style0"/>
        <w:jc w:val="center"/>
        <w:rPr>
          <w:rFonts w:hint="eastAsia"/>
          <w:lang w:eastAsia="zh-CN"/>
        </w:rPr>
      </w:pPr>
    </w:p>
    <w:p>
      <w:pPr>
        <w:pStyle w:val="style0"/>
        <w:jc w:val="center"/>
        <w:rPr>
          <w:rFonts w:hint="eastAsia"/>
          <w:lang w:eastAsia="zh-CN"/>
        </w:rPr>
      </w:pPr>
    </w:p>
    <w:p>
      <w:pPr>
        <w:pStyle w:val="style0"/>
        <w:jc w:val="center"/>
        <w:rPr>
          <w:rFonts w:hint="eastAsia"/>
          <w:lang w:eastAsia="zh-CN"/>
        </w:rPr>
      </w:pPr>
    </w:p>
    <w:p>
      <w:pPr>
        <w:pStyle w:val="style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辅</w:t>
      </w:r>
    </w:p>
    <w:p>
      <w:pPr>
        <w:pStyle w:val="style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导</w:t>
      </w:r>
    </w:p>
    <w:p>
      <w:pPr>
        <w:pStyle w:val="style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员</w:t>
      </w:r>
    </w:p>
    <w:p>
      <w:pPr>
        <w:pStyle w:val="style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清</w:t>
      </w:r>
    </w:p>
    <w:p>
      <w:pPr>
        <w:pStyle w:val="style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廉</w:t>
      </w:r>
    </w:p>
    <w:p>
      <w:pPr>
        <w:pStyle w:val="style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个</w:t>
      </w:r>
    </w:p>
    <w:p>
      <w:pPr>
        <w:pStyle w:val="style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人</w:t>
      </w:r>
    </w:p>
    <w:p>
      <w:pPr>
        <w:pStyle w:val="style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方</w:t>
      </w:r>
    </w:p>
    <w:p>
      <w:pPr>
        <w:pStyle w:val="style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案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生物科学与技术系</w:t>
      </w:r>
    </w:p>
    <w:p>
      <w:pPr>
        <w:pStyle w:val="style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李亚莉</w:t>
      </w:r>
    </w:p>
    <w:p>
      <w:pPr>
        <w:pStyle w:val="style0"/>
        <w:jc w:val="right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2022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21</w:t>
      </w:r>
      <w:r>
        <w:rPr>
          <w:rFonts w:hint="eastAsia"/>
          <w:lang w:val="en-US" w:eastAsia="zh-CN"/>
        </w:rPr>
        <w:t>日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清廉辅导员个人方案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为深入落实实施学校颁布《全面建设清廉晋院行动方案》，在本职工作岗位上, 牢固树立共产主义的世界观、人生观、价值观，从思想上、政治上时刻与党中央及各级党组织保持高度一致。在清廉建设中始终对自己高标准、严要求，时刻做到自重、自醒、自警、自励，自觉加强党性修养。通过加强自身的建设，坚定全心全意为人民服务的宗旨观念，把自身清廉建设变成自觉行动，贯穿于日常工作始终，坚决做到立党为公,执政为民，自觉抑制不正之风。具体如下：</w:t>
      </w:r>
    </w:p>
    <w:p>
      <w:pPr>
        <w:pStyle w:val="style0"/>
        <w:rPr/>
      </w:pPr>
      <w:r>
        <w:rPr>
          <w:rFonts w:hint="eastAsia"/>
          <w:lang w:eastAsia="zh-CN"/>
        </w:rPr>
        <w:t>一、全面贯彻党的教育方针，严格执行党风廉政责任制；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二、严肃政治纪律，不以任何方式散布错误思想和观点，不参加非法组织和非法活动；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三、严格按照教育部颁布的《普通高等学校辅导员队伍建设规定》和《新时代高校教师职业行为十项准则》履行好辅导员的职责和使命，遵守学校的各种规章制度，按要求做好学生工作；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四、严于律己，清廉从教；不得索要、收受学生及家长财物，不参加由学生及家长付费的宴请、旅游、娱乐休闲等活动，或利用家长资源谋取私利;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五、严格组织纪律，加强学生工作纪律，随时随地维护学生的利益，不以任何借口、任何形式侵占和损害学生的利益；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六、不以权谋私，不利用学生入党、选拔干部、评优评先、奖惩、资助或借结婚、生子、生日、节日之机，索要或者收受学生或学生家长的宴请和财物；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七、在国家奖学金、国家励志奖学金、国家助学金、学校综合奖学金、单项奖学金、困难补助等评定发放中，严格按照规定执行，确保公平、公正、公开；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八、不擅设收费项目或提高收费标准，不乱收学生班费、活动经费，不推销有偿培训、认证证书或其他形式的有偿行为，不私设收费、罚款项目或提高代收费标准；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九、不收受与行使职权有关系的单位或个人的礼金、礼品和有价证券；</w:t>
      </w:r>
    </w:p>
    <w:p>
      <w:pPr>
        <w:pStyle w:val="style0"/>
        <w:rPr/>
      </w:pPr>
    </w:p>
    <w:p>
      <w:pPr>
        <w:pStyle w:val="style179"/>
        <w:numPr>
          <w:ilvl w:val="0"/>
          <w:numId w:val="1"/>
        </w:numPr>
        <w:ind w:firstLineChars="0"/>
        <w:rPr/>
      </w:pPr>
      <w:r>
        <w:rPr>
          <w:rFonts w:hint="eastAsia"/>
          <w:lang w:eastAsia="zh-CN"/>
        </w:rPr>
        <w:t>杜绝一切有损党员、辅导员职业队伍形象的行为，不越底线红线。</w:t>
      </w:r>
    </w:p>
    <w:p>
      <w:pPr>
        <w:pStyle w:val="style179"/>
        <w:numPr>
          <w:ilvl w:val="0"/>
          <w:numId w:val="0"/>
        </w:numPr>
        <w:ind w:left="20" w:leftChars="0" w:firstLineChars="200"/>
        <w:jc w:val="left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4DF455"/>
    <w:lvl w:ilvl="0" w:tplc="0409000F">
      <w:start w:val="10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770</Words>
  <Characters>774</Characters>
  <Application>WPS Office</Application>
  <Paragraphs>48</Paragraphs>
  <CharactersWithSpaces>775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2022-04-21T02:10:47Z</dcterms:created>
  <dc:creator>ANG-AN00</dc:creator>
  <lastModifiedBy>ANG-AN00</lastModifiedBy>
  <dcterms:modified xsi:type="dcterms:W3CDTF">2022-04-21T02:38:33Z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86394ef725bc4dfebb01028cb1d44fbe</vt:lpwstr>
  </property>
</Properties>
</file>