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</w:rPr>
        <w:t>全面建设清廉晋院行动方案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按照中共晋中学院委员会文件（党发[2022]12号），中共晋中学院委员会印发《全面建设清廉晋院行动方案》的通知要求，制定食品科学与工程党支部“清廉晋院行动方案”如下：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以文件（党发[2022]12号）的指导思想为主导，坚持7个基本原则，</w:t>
      </w:r>
      <w:r>
        <w:rPr>
          <w:rFonts w:hint="eastAsia" w:ascii="宋体" w:hAnsi="宋体" w:eastAsia="宋体" w:cs="宋体"/>
          <w:sz w:val="24"/>
          <w:szCs w:val="24"/>
        </w:rPr>
        <w:t>全面建设清廉晋院基础在全面、关键在建设、目标在清廉。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加强理论学习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学习资料有：《中国共产党章程》、《中国共产党纪律处分条例》、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《中国共产党廉洁自律准则》等。通过学习，提高认识，以坚定自己的崇高理想信念。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要增强角色意识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角色意识是每个人对自身属性的自我认识和自我调控。通过角色意识的教育，明确作为教师的具体要求，是我牢固树立“依法治教、廉洁从教”、“以法立德、以德立身”的观念，做到为人师表，言传身教，教书育人，热爱学生，以高尚的品德和情操引导学生德、智、体、美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以身作则，不参与和接收可能对公证执行公务造成影响的馈赠、吃请和娱乐消费活动。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                                   生物系  苏艳玲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41E66B"/>
    <w:multiLevelType w:val="singleLevel"/>
    <w:tmpl w:val="AF41E6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5363A0"/>
    <w:multiLevelType w:val="singleLevel"/>
    <w:tmpl w:val="645363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52794"/>
    <w:rsid w:val="42352794"/>
    <w:rsid w:val="53A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ind w:left="106"/>
      <w:jc w:val="both"/>
    </w:pPr>
    <w:rPr>
      <w:rFonts w:ascii="宋体" w:hAnsi="Calibri" w:eastAsia="宋体" w:cs="宋体"/>
      <w:kern w:val="2"/>
      <w:sz w:val="87"/>
      <w:szCs w:val="8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2022-04-21T09:23:00Z</dcterms:created>
  <dc:creator>苏艳玲</dc:creator>
  <cp:lastModifiedBy>苏艳玲</cp:lastModifiedBy>
  <dcterms:modified xsi:type="dcterms:W3CDTF">2022-04-21T09:56:12Z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